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Lines="0"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afterLines="0"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afterLines="0"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2024（第</w:t>
      </w:r>
      <w:bookmarkStart w:id="0" w:name="_GoBack"/>
      <w:bookmarkEnd w:id="0"/>
      <w:r>
        <w:rPr>
          <w:rFonts w:hint="eastAsia" w:ascii="方正小标宋简体" w:hAnsi="方正小标宋简体" w:eastAsia="方正小标宋简体" w:cs="方正小标宋简体"/>
          <w:sz w:val="44"/>
          <w:szCs w:val="44"/>
          <w:lang w:val="en-US" w:eastAsia="zh-CN"/>
        </w:rPr>
        <w:t>三届）</w:t>
      </w:r>
      <w:r>
        <w:rPr>
          <w:rFonts w:hint="eastAsia" w:ascii="方正小标宋简体" w:hAnsi="方正小标宋简体" w:eastAsia="方正小标宋简体" w:cs="方正小标宋简体"/>
          <w:sz w:val="44"/>
          <w:szCs w:val="44"/>
          <w:lang w:eastAsia="zh-CN"/>
        </w:rPr>
        <w:t>江西社会科学学术年会</w:t>
      </w:r>
    </w:p>
    <w:p>
      <w:pPr>
        <w:keepNext w:val="0"/>
        <w:keepLines w:val="0"/>
        <w:pageBreakBefore w:val="0"/>
        <w:widowControl w:val="0"/>
        <w:kinsoku/>
        <w:wordWrap/>
        <w:overflowPunct/>
        <w:topLinePunct w:val="0"/>
        <w:autoSpaceDE/>
        <w:autoSpaceDN/>
        <w:bidi w:val="0"/>
        <w:adjustRightInd/>
        <w:snapToGrid/>
        <w:spacing w:afterLines="0"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实施方案</w:t>
      </w:r>
    </w:p>
    <w:p>
      <w:pPr>
        <w:keepNext w:val="0"/>
        <w:keepLines w:val="0"/>
        <w:pageBreakBefore w:val="0"/>
        <w:widowControl w:val="0"/>
        <w:kinsoku/>
        <w:wordWrap/>
        <w:overflowPunct/>
        <w:topLinePunct w:val="0"/>
        <w:autoSpaceDE/>
        <w:autoSpaceDN/>
        <w:bidi w:val="0"/>
        <w:adjustRightInd/>
        <w:snapToGrid/>
        <w:spacing w:afterLines="0"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afterLines="0" w:line="560" w:lineRule="exact"/>
        <w:ind w:firstLine="640" w:firstLineChars="200"/>
        <w:textAlignment w:val="auto"/>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一、指导思想</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坚持以习近平新时代中国特色社会主义思想为指导，深入学习贯彻习近平文化思想和习近平总书记考察江西重要讲话精神，全面贯彻落实省委、省政府重大战略部署，聚焦“走在前、勇争先、善作为”的目标要求,围绕中心、服务大局，组织和引导全省社科工作者着眼学术前沿，促进学术交流，推动理论创新，服务科学决策，为奋力谱写中国式现代化江西篇章提供思想保证和智力支持。</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二、目的意义</w:t>
      </w:r>
    </w:p>
    <w:p>
      <w:pPr>
        <w:pStyle w:val="2"/>
        <w:spacing w:after="0"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立足江西文脉绵长、底蕴深厚的文化资源，紧紧围绕新时代新征程上新的文化使命，引导全省社科界守正创新、锐意进取、担当实干，不断推动新时代赣鄱文化创造性转化、创新性发展，推进文化强省建设不断迈上新台阶；加快构筑具有江西标识度的哲学社会科学学科体系、学术体系、话语体系，</w:t>
      </w:r>
      <w:r>
        <w:rPr>
          <w:rFonts w:hint="eastAsia" w:ascii="仿宋_GB2312" w:hAnsi="仿宋_GB2312" w:eastAsia="仿宋_GB2312" w:cs="仿宋_GB2312"/>
          <w:sz w:val="32"/>
          <w:szCs w:val="32"/>
        </w:rPr>
        <w:t>展现学术前沿，建设思想高地，培养优秀人才,</w:t>
      </w:r>
      <w:r>
        <w:rPr>
          <w:rFonts w:hint="eastAsia" w:ascii="仿宋_GB2312" w:hAnsi="仿宋_GB2312" w:eastAsia="仿宋_GB2312" w:cs="仿宋_GB2312"/>
          <w:sz w:val="32"/>
          <w:szCs w:val="32"/>
          <w:lang w:eastAsia="zh-CN"/>
        </w:rPr>
        <w:t>繁荣江西哲学社会科学事业。</w:t>
      </w:r>
    </w:p>
    <w:p>
      <w:pPr>
        <w:keepNext w:val="0"/>
        <w:keepLines w:val="0"/>
        <w:pageBreakBefore w:val="0"/>
        <w:widowControl w:val="0"/>
        <w:numPr>
          <w:ilvl w:val="-1"/>
          <w:numId w:val="0"/>
        </w:numPr>
        <w:kinsoku/>
        <w:wordWrap/>
        <w:overflowPunct/>
        <w:topLinePunct w:val="0"/>
        <w:autoSpaceDE/>
        <w:autoSpaceDN/>
        <w:bidi w:val="0"/>
        <w:adjustRightInd/>
        <w:snapToGrid/>
        <w:spacing w:afterLines="0" w:line="560" w:lineRule="exact"/>
        <w:ind w:firstLine="640" w:firstLineChars="200"/>
        <w:textAlignment w:val="auto"/>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三、年会主题</w:t>
      </w:r>
    </w:p>
    <w:p>
      <w:pPr>
        <w:keepNext w:val="0"/>
        <w:keepLines w:val="0"/>
        <w:pageBreakBefore w:val="0"/>
        <w:widowControl w:val="0"/>
        <w:numPr>
          <w:ilvl w:val="-1"/>
          <w:numId w:val="0"/>
        </w:numPr>
        <w:kinsoku/>
        <w:wordWrap/>
        <w:overflowPunct/>
        <w:topLinePunct w:val="0"/>
        <w:autoSpaceDE/>
        <w:autoSpaceDN/>
        <w:bidi w:val="0"/>
        <w:adjustRightInd/>
        <w:snapToGrid/>
        <w:spacing w:afterLines="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守正创新 担负起新的文化使命</w:t>
      </w:r>
    </w:p>
    <w:p>
      <w:pPr>
        <w:keepNext w:val="0"/>
        <w:keepLines w:val="0"/>
        <w:pageBreakBefore w:val="0"/>
        <w:widowControl w:val="0"/>
        <w:numPr>
          <w:ilvl w:val="-1"/>
          <w:numId w:val="0"/>
        </w:numPr>
        <w:kinsoku/>
        <w:wordWrap/>
        <w:overflowPunct/>
        <w:topLinePunct w:val="0"/>
        <w:autoSpaceDE/>
        <w:autoSpaceDN/>
        <w:bidi w:val="0"/>
        <w:adjustRightInd/>
        <w:snapToGrid/>
        <w:spacing w:afterLines="0"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afterLines="0" w:line="560" w:lineRule="exact"/>
        <w:ind w:firstLine="640" w:firstLineChars="200"/>
        <w:textAlignment w:val="auto"/>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四、举办形式及承办单位</w:t>
      </w:r>
    </w:p>
    <w:p>
      <w:pPr>
        <w:keepNext w:val="0"/>
        <w:keepLines w:val="0"/>
        <w:pageBreakBefore w:val="0"/>
        <w:widowControl w:val="0"/>
        <w:numPr>
          <w:ilvl w:val="-1"/>
          <w:numId w:val="0"/>
        </w:numPr>
        <w:kinsoku/>
        <w:wordWrap/>
        <w:overflowPunct/>
        <w:topLinePunct w:val="0"/>
        <w:autoSpaceDE/>
        <w:autoSpaceDN/>
        <w:bidi w:val="0"/>
        <w:adjustRightInd/>
        <w:snapToGrid/>
        <w:spacing w:afterLines="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采取“1+7”模式，即1场年会大会和7场专题分会。年会大会由省社联主办；各专题分会分别由南昌市社联，九江市社联，鹰潭市社联，城乡治理与共同富裕研究中心（南昌大学）、数字素养与技能提升研究中心（南昌大学），江西财经大学，资源与环境经济研究中心（东华理工大学）、江西生态文明建设制度研究中心（东华理工大学），水经济与管理研究中心（南昌工程学院）承办。</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五、时间安排</w:t>
      </w:r>
    </w:p>
    <w:p>
      <w:pPr>
        <w:keepNext w:val="0"/>
        <w:keepLines w:val="0"/>
        <w:pageBreakBefore w:val="0"/>
        <w:widowControl w:val="0"/>
        <w:numPr>
          <w:ilvl w:val="-1"/>
          <w:numId w:val="0"/>
        </w:numPr>
        <w:kinsoku/>
        <w:wordWrap/>
        <w:overflowPunct/>
        <w:topLinePunct w:val="0"/>
        <w:autoSpaceDE/>
        <w:autoSpaceDN/>
        <w:bidi w:val="0"/>
        <w:adjustRightInd/>
        <w:snapToGrid/>
        <w:spacing w:afterLines="0"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年会大会于</w:t>
      </w:r>
      <w:r>
        <w:rPr>
          <w:rFonts w:hint="eastAsia" w:ascii="仿宋_GB2312" w:hAnsi="仿宋_GB2312" w:eastAsia="仿宋_GB2312" w:cs="仿宋_GB2312"/>
          <w:sz w:val="32"/>
          <w:szCs w:val="32"/>
          <w:lang w:val="en-US" w:eastAsia="zh-CN"/>
        </w:rPr>
        <w:t>11月召开，年会分会于9—10月召开。</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outlineLvl w:val="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lang w:eastAsia="zh-CN"/>
        </w:rPr>
        <w:t>、活动安排</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outlineLvl w:val="1"/>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（一）征集学术年会论文</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自公布之日起，省社联统一面向全省社科理论界和实际工作部门广泛征集论文。</w:t>
      </w:r>
      <w:r>
        <w:rPr>
          <w:rFonts w:hint="eastAsia" w:ascii="仿宋_GB2312" w:hAnsi="仿宋_GB2312" w:eastAsia="仿宋_GB2312" w:cs="仿宋_GB2312"/>
          <w:i w:val="0"/>
          <w:caps w:val="0"/>
          <w:color w:val="000000"/>
          <w:spacing w:val="0"/>
          <w:kern w:val="2"/>
          <w:sz w:val="32"/>
          <w:szCs w:val="32"/>
          <w:shd w:val="clear" w:fill="FFFFFF"/>
          <w:lang w:val="en-US" w:eastAsia="zh-CN" w:bidi="ar"/>
        </w:rPr>
        <w:t>承办单位负责各自专题的论文收集整理工作，每个分会编撰1本优秀论文集（不少于30篇高质量文章）</w:t>
      </w:r>
      <w:r>
        <w:rPr>
          <w:rFonts w:hint="eastAsia" w:ascii="仿宋_GB2312" w:hAnsi="仿宋_GB2312" w:eastAsia="仿宋_GB2312" w:cs="仿宋_GB2312"/>
          <w:i w:val="0"/>
          <w:caps w:val="0"/>
          <w:color w:val="auto"/>
          <w:spacing w:val="0"/>
          <w:kern w:val="2"/>
          <w:sz w:val="32"/>
          <w:szCs w:val="32"/>
          <w:shd w:val="clear" w:fill="FFFFFF"/>
          <w:lang w:val="en-US" w:eastAsia="zh-CN" w:bidi="ar"/>
        </w:rPr>
        <w:t>。</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outlineLvl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1.征文时间</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投稿截止日期为2024年9月8日。</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outlineLvl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2.征文方向</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专题:1：持续唱响“物华天宝 人杰地灵 天下英雄城”城市品牌</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聚焦全面落实省会引领战略、传承弘扬南昌优秀传统文化、南昌城市品牌建设等议题。</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专题2：长江之水 青铜之光——探源瑞昌铜岭铜矿遗址，追寻长江文明的起源</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聚焦瑞昌铜岭铜矿遗址与青铜文物之间的关系分析、瑞昌铜岭铜矿国家考古遗址公园与文旅开发融合发展路径分析、铜岭铜矿遗址的历史价值和地位、青铜文化传承与发展、长江流域（青铜）文化研究等议题。</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专题3：“韬奋精神”与红色文化基因传承</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聚焦</w:t>
      </w:r>
      <w:r>
        <w:rPr>
          <w:rFonts w:hint="eastAsia" w:ascii="仿宋_GB2312" w:hAnsi="仿宋_GB2312" w:eastAsia="仿宋_GB2312" w:cs="仿宋_GB2312"/>
          <w:sz w:val="32"/>
          <w:szCs w:val="32"/>
        </w:rPr>
        <w:t>弘扬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韬奋精神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与担当新时代文化使命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韬奋精神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与习近平文化思想研究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韬奋精神”红色基因的当代价值研究、“韬奋精神”与建党精神研究、“韬奋精神”与抗战精神研究、“韬奋精神”传播实践研究、“韬奋精神”铸魂育人研究、邹韬奋的历史书写与社会记忆研究、“韬奋精神”传承与经济社会发展的融合研究、“韬奋精神”与红色文化产业融合发展研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韬奋精神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与新时代好青年培养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韬奋精神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传承与地方教育发展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韬奋精神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与修好共产党人</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“心学”的启示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韬奋精神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与文化强市战略研究</w:t>
      </w:r>
      <w:r>
        <w:rPr>
          <w:rFonts w:hint="eastAsia" w:ascii="仿宋_GB2312" w:hAnsi="仿宋_GB2312" w:eastAsia="仿宋_GB2312" w:cs="仿宋_GB2312"/>
          <w:sz w:val="32"/>
          <w:szCs w:val="32"/>
          <w:lang w:val="en-US" w:eastAsia="zh-CN"/>
        </w:rPr>
        <w:t>等议题。</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专题4：文化促进乡村振兴</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聚焦习近平总书记关于乡村文化振兴重要论述、文化赋能乡村振兴、农民精神富有与农村社会治理现代化、红色文化与革命老区高质量发展、数字赋能乡村文化振兴研究、革命老区全民数字素养与技能提升研究等议题。</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专题5：中华优秀传统文化与中国式管理创新</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聚焦中国式现代化发展中的管理哲学与管理智慧，中国式管理的基本问题、原理、方法反思，诸子百家与中国管理哲学，中国特色管理学构念开发与实证，传统文化履践型企业案例研究，中华优秀传统文化与企业家思想，中华优秀传统文化融入文化产业、旅游业、商贸物流等行业管理的理论与实践，新质生产力赋能中国式管理创新等议题。</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专题6：资源开发、生态文化与新质生产力发展</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聚焦资源开发与可持续利用、生态智慧与生态实践、绿色赋能与经济高质量发展、公司治理与新质生产力发展等议题。</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专题7：水与文明：水文化的保护、传承与利用</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聚焦水文化挖掘、保护与利用，水文化价值估算与实现路径，水利风景区水文化挖掘与利用，水文化教育与思政育人，生态文明理论探讨与实践探索等议题。</w:t>
      </w:r>
    </w:p>
    <w:p>
      <w:pPr>
        <w:keepNext w:val="0"/>
        <w:keepLines w:val="0"/>
        <w:pageBreakBefore w:val="0"/>
        <w:widowControl w:val="0"/>
        <w:numPr>
          <w:ilvl w:val="-1"/>
          <w:numId w:val="0"/>
        </w:numPr>
        <w:kinsoku/>
        <w:wordWrap/>
        <w:overflowPunct/>
        <w:topLinePunct w:val="0"/>
        <w:autoSpaceDE/>
        <w:autoSpaceDN/>
        <w:bidi w:val="0"/>
        <w:adjustRightInd/>
        <w:snapToGrid/>
        <w:spacing w:afterLines="0" w:line="560" w:lineRule="exact"/>
        <w:ind w:firstLine="640" w:firstLineChars="200"/>
        <w:textAlignment w:val="auto"/>
        <w:outlineLvl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3.征文要求：（1）坚持正确的政治方向和学术导向，理论联系实际，观点正确；</w:t>
      </w:r>
      <w:r>
        <w:rPr>
          <w:rFonts w:hint="eastAsia" w:ascii="仿宋_GB2312" w:hAnsi="仿宋_GB2312" w:eastAsia="仿宋_GB2312" w:cs="仿宋_GB2312"/>
          <w:color w:val="auto"/>
          <w:sz w:val="32"/>
          <w:szCs w:val="32"/>
          <w:lang w:val="en-US" w:eastAsia="zh-CN"/>
        </w:rPr>
        <w:t>（2）以全面贯彻落实习近平文化思想和习近平总书记考察江西重要讲话精神为主线，</w:t>
      </w:r>
      <w:r>
        <w:rPr>
          <w:rFonts w:hint="eastAsia" w:ascii="仿宋_GB2312" w:hAnsi="仿宋_GB2312" w:eastAsia="仿宋_GB2312" w:cs="仿宋_GB2312"/>
          <w:color w:val="auto"/>
          <w:spacing w:val="0"/>
          <w:sz w:val="32"/>
          <w:szCs w:val="32"/>
        </w:rPr>
        <w:t>聚焦习近平新时代中国特色社会主义思想研究</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江西现代化建设重大理论与实践问题研究、</w:t>
      </w:r>
      <w:r>
        <w:rPr>
          <w:rFonts w:hint="eastAsia" w:ascii="仿宋_GB2312" w:hAnsi="仿宋_GB2312" w:eastAsia="仿宋_GB2312" w:cs="仿宋_GB2312"/>
          <w:b w:val="0"/>
          <w:bCs w:val="0"/>
          <w:color w:val="auto"/>
          <w:spacing w:val="0"/>
          <w:sz w:val="32"/>
          <w:szCs w:val="32"/>
          <w:lang w:val="en-US" w:eastAsia="zh-CN"/>
        </w:rPr>
        <w:t>红色基因传承研究、</w:t>
      </w:r>
      <w:r>
        <w:rPr>
          <w:rFonts w:hint="eastAsia" w:ascii="仿宋_GB2312" w:hAnsi="仿宋_GB2312" w:eastAsia="仿宋_GB2312" w:cs="仿宋_GB2312"/>
          <w:color w:val="auto"/>
          <w:spacing w:val="0"/>
          <w:sz w:val="32"/>
          <w:szCs w:val="32"/>
          <w:lang w:val="en-US" w:eastAsia="zh-CN"/>
        </w:rPr>
        <w:t>江西优秀传统文化研究，围绕分会场专题，</w:t>
      </w:r>
      <w:r>
        <w:rPr>
          <w:rFonts w:hint="eastAsia" w:ascii="仿宋_GB2312" w:hAnsi="仿宋_GB2312" w:eastAsia="仿宋_GB2312" w:cs="仿宋_GB2312"/>
          <w:color w:val="auto"/>
          <w:sz w:val="32"/>
          <w:szCs w:val="32"/>
          <w:lang w:val="en-US" w:eastAsia="zh-CN"/>
        </w:rPr>
        <w:t>自拟题目，展示最新研究成果；（3）论文既可以是基础理论研究，也可以是应用对策研究，具有较强的学术性、理论性、创新性和应用性，立意新颖、规范严谨、语言流畅；（4）论文未公开发表，不涉及著作权、版权等法律纠纷，如有抄袭或侵权行为，责任自负；（5）同一篇文章只能投1场专题分会，不得重复投稿；（6）论文篇幅不超过1.5万字，格式参考《苏区研究》。</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outlineLvl w:val="2"/>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sz w:val="32"/>
          <w:szCs w:val="32"/>
          <w:lang w:val="en-US" w:eastAsia="zh-CN"/>
        </w:rPr>
        <w:t>4.征文评优表彰：（1）省社联组织专家对承办单位推荐的论文（每个承办单位推荐10篇）进行评选，评选出一、二、三等奖；（2）评出的获奖论文将在“江西社科网”进行公示；（3）获奖者将在本届年会大会中进行表彰，一等奖优秀论文作者代表在大会上作主旨发言；（4）推荐优秀论文在相关期刊上发表。</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Lines="0" w:line="560" w:lineRule="exact"/>
        <w:ind w:firstLine="640" w:firstLineChars="200"/>
        <w:textAlignment w:val="auto"/>
        <w:outlineLvl w:val="1"/>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（二）召开</w:t>
      </w:r>
      <w:r>
        <w:rPr>
          <w:rFonts w:hint="eastAsia" w:ascii="楷体_GB2312" w:hAnsi="楷体_GB2312" w:eastAsia="楷体_GB2312" w:cs="楷体_GB2312"/>
          <w:i w:val="0"/>
          <w:caps w:val="0"/>
          <w:color w:val="000000"/>
          <w:spacing w:val="0"/>
          <w:kern w:val="2"/>
          <w:sz w:val="32"/>
          <w:szCs w:val="32"/>
          <w:shd w:val="clear" w:fill="FFFFFF"/>
          <w:lang w:val="en-US" w:eastAsia="zh-CN" w:bidi="ar"/>
        </w:rPr>
        <w:t>学术年会专题分会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Lines="0" w:afterAutospacing="0" w:line="560" w:lineRule="exact"/>
        <w:ind w:right="0" w:firstLine="640" w:firstLineChars="200"/>
        <w:jc w:val="left"/>
        <w:textAlignment w:val="auto"/>
        <w:outlineLvl w:val="2"/>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sz w:val="32"/>
          <w:szCs w:val="32"/>
          <w:lang w:val="en-US" w:eastAsia="zh-CN"/>
        </w:rPr>
        <w:t>1.纪律要求：各承办单位要压紧压实主体责任，切实加强管理，严格把好意识形态关，确保专题分会可管可控，绝不给错误思想观点和不良文化提供传播渠道。</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outlineLvl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2.时间安排：举办时间集中在9—10月。</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outlineLvl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3.会议报备：在会议召开前15天，各承办单位需将会议方案（含会议议程、出席嘉宾、与会人员、致辞和发言稿等）、论文目录（含论文题目、作者信息等）等报送至省社联学术中心。</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outlineLvl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4.会场安排：专题分会会议背景板需按照省社联设计的样式统一展示。省社联领导将参加会议。</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outlineLvl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5.宣传报道：各承办单位邀请媒体进行广泛宣传报道。</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outlineLvl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6.资料报送：专题分会结束5天内，需将致辞和主旨发言稿、活动影像、会议综述等相关资料报送至省社联学术中心。</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jc w:val="both"/>
        <w:textAlignment w:val="auto"/>
        <w:outlineLvl w:val="1"/>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（三）召开学术年会大会</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jc w:val="both"/>
        <w:textAlignment w:val="auto"/>
        <w:outlineLvl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1.举办时间：学术年会大会于11月召开，</w:t>
      </w:r>
      <w:r>
        <w:rPr>
          <w:rFonts w:hint="eastAsia" w:ascii="仿宋_GB2312" w:hAnsi="仿宋_GB2312" w:eastAsia="仿宋_GB2312" w:cs="仿宋_GB2312"/>
          <w:color w:val="auto"/>
          <w:spacing w:val="0"/>
          <w:sz w:val="32"/>
          <w:szCs w:val="32"/>
          <w:lang w:val="en-US" w:eastAsia="zh-CN"/>
        </w:rPr>
        <w:t>会期半天</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jc w:val="both"/>
        <w:textAlignment w:val="auto"/>
        <w:outlineLvl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2.参会人员：省委宣传部领导、各专题分会承办单位负责人、省直有关单位科研工作负责人、高校科研部门负责人、</w:t>
      </w:r>
      <w:r>
        <w:rPr>
          <w:rFonts w:hint="eastAsia" w:ascii="仿宋_GB2312" w:hAnsi="仿宋_GB2312" w:eastAsia="仿宋_GB2312" w:cs="仿宋_GB2312"/>
          <w:sz w:val="32"/>
          <w:szCs w:val="32"/>
          <w:lang w:eastAsia="zh-CN"/>
        </w:rPr>
        <w:t>相关实际部门负责人、</w:t>
      </w:r>
      <w:r>
        <w:rPr>
          <w:rFonts w:hint="eastAsia" w:ascii="仿宋_GB2312" w:hAnsi="仿宋_GB2312" w:eastAsia="仿宋_GB2312" w:cs="仿宋_GB2312"/>
          <w:sz w:val="32"/>
          <w:szCs w:val="32"/>
          <w:lang w:val="en-US" w:eastAsia="zh-CN"/>
        </w:rPr>
        <w:t>设区市社联负责人、社科学术社团代表、</w:t>
      </w:r>
      <w:r>
        <w:rPr>
          <w:rFonts w:hint="eastAsia" w:ascii="仿宋_GB2312" w:hAnsi="仿宋_GB2312" w:eastAsia="仿宋_GB2312" w:cs="仿宋_GB2312"/>
          <w:sz w:val="32"/>
          <w:szCs w:val="32"/>
          <w:lang w:eastAsia="zh-CN"/>
        </w:rPr>
        <w:t>省哲学社会科学重点研究基地代表、</w:t>
      </w:r>
      <w:r>
        <w:rPr>
          <w:rFonts w:hint="eastAsia" w:ascii="仿宋_GB2312" w:hAnsi="仿宋_GB2312" w:eastAsia="仿宋_GB2312" w:cs="仿宋_GB2312"/>
          <w:sz w:val="32"/>
          <w:szCs w:val="32"/>
          <w:lang w:val="en-US" w:eastAsia="zh-CN"/>
        </w:rPr>
        <w:t>专家学者代表、学术年会优秀论文作者代表等约150人参会。</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jc w:val="both"/>
        <w:textAlignment w:val="auto"/>
        <w:outlineLvl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3.会议议程：（1）出席会议的领导致辞；</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（2）参会领导为优秀论文作者代表颁奖；</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（3）多名省内外知名专家学者从不同领域作主旨发言，展示最新社科研究成果；</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（4）省社联领导对2024（第三届）江西社会科学学术年会进行闭幕总结。</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jc w:val="both"/>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七、组织保障</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1.成立2024（第三届）江西社会科学学术年会领导小组，省社联党组书记、主席罗勇兵为组长，党组成员、副主席汤水清为副组长。</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2.领导小组负责组织和协调学术年会的各项工作，负责重大事项的审定。</w:t>
      </w:r>
    </w:p>
    <w:p>
      <w:pPr>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3.领导小组下设办公室，设在学术中心，负责具体实施各项工作。</w:t>
      </w:r>
    </w:p>
    <w:p>
      <w:pPr>
        <w:pStyle w:val="2"/>
        <w:spacing w:after="0" w:line="560" w:lineRule="exact"/>
        <w:rPr>
          <w:rFonts w:hint="eastAsia" w:ascii="仿宋_GB2312" w:hAnsi="仿宋_GB2312" w:eastAsia="仿宋_GB2312" w:cs="仿宋_GB2312"/>
          <w:sz w:val="32"/>
          <w:szCs w:val="32"/>
          <w:lang w:val="en-US" w:eastAsia="zh-CN"/>
        </w:rPr>
      </w:pPr>
    </w:p>
    <w:p>
      <w:pPr>
        <w:pStyle w:val="2"/>
        <w:spacing w:after="0" w:line="560" w:lineRule="exact"/>
        <w:rPr>
          <w:rFonts w:hint="eastAsia" w:ascii="仿宋_GB2312" w:hAnsi="仿宋_GB2312" w:eastAsia="仿宋_GB2312" w:cs="仿宋_GB2312"/>
          <w:sz w:val="32"/>
          <w:szCs w:val="32"/>
          <w:lang w:val="en-US" w:eastAsia="zh-CN"/>
        </w:rPr>
      </w:pPr>
    </w:p>
    <w:p>
      <w:pPr>
        <w:pStyle w:val="2"/>
        <w:spacing w:after="0" w:line="560" w:lineRule="exact"/>
        <w:jc w:val="right"/>
        <w:rPr>
          <w:rFonts w:hint="eastAsia" w:ascii="仿宋_GB2312" w:hAnsi="仿宋_GB2312" w:eastAsia="仿宋_GB2312" w:cs="仿宋_GB2312"/>
          <w:sz w:val="32"/>
          <w:szCs w:val="32"/>
          <w:lang w:val="en-US" w:eastAsia="zh-CN"/>
        </w:rPr>
      </w:pPr>
    </w:p>
    <w:p>
      <w:pPr>
        <w:pStyle w:val="2"/>
        <w:spacing w:after="0" w:line="560" w:lineRule="exact"/>
        <w:jc w:val="center"/>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Nimbus Roman No9 L"/>
    <w:panose1 w:val="00000000000000000000"/>
    <w:charset w:val="00"/>
    <w:family w:val="auto"/>
    <w:pitch w:val="default"/>
    <w:sig w:usb0="00000000" w:usb1="00000000" w:usb2="00000000" w:usb3="00000000" w:csb0="0000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Microsoft YaHei">
    <w:altName w:val="黑体"/>
    <w:panose1 w:val="00000000000000000000"/>
    <w:charset w:val="00"/>
    <w:family w:val="auto"/>
    <w:pitch w:val="default"/>
    <w:sig w:usb0="00000000" w:usb1="00000000" w:usb2="00000000" w:usb3="00000000" w:csb0="00000000" w:csb1="00000000"/>
  </w:font>
  <w:font w:name="Tahoma">
    <w:altName w:val="Droid San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53034C79"/>
    <w:rsid w:val="1EFFC174"/>
    <w:rsid w:val="225B6673"/>
    <w:rsid w:val="2BFF959A"/>
    <w:rsid w:val="3DF73D3A"/>
    <w:rsid w:val="3FD392CF"/>
    <w:rsid w:val="53034C79"/>
    <w:rsid w:val="66BE49E6"/>
    <w:rsid w:val="6CBFF2E9"/>
    <w:rsid w:val="6DE12362"/>
    <w:rsid w:val="6FD33217"/>
    <w:rsid w:val="75B8194E"/>
    <w:rsid w:val="76FF135C"/>
    <w:rsid w:val="7D8D6FB3"/>
    <w:rsid w:val="7DDF75CB"/>
    <w:rsid w:val="9A5F8C71"/>
    <w:rsid w:val="BFFF7108"/>
    <w:rsid w:val="C7BED8F9"/>
    <w:rsid w:val="CBDF3B07"/>
    <w:rsid w:val="E3EE9F27"/>
    <w:rsid w:val="E73E94B9"/>
    <w:rsid w:val="F55F5E36"/>
    <w:rsid w:val="F7F7B08F"/>
    <w:rsid w:val="F7FDCF2D"/>
    <w:rsid w:val="F7FFE003"/>
    <w:rsid w:val="FBCEB9CD"/>
    <w:rsid w:val="FECF0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djustRightInd w:val="0"/>
      <w:snapToGrid w:val="0"/>
      <w:spacing w:after="120" w:afterLines="0"/>
    </w:pPr>
    <w:rPr>
      <w:rFonts w:eastAsia="仿宋"/>
      <w:sz w:val="28"/>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2024-05-27T11:53:00Z</dcterms:created>
  <dc:creator>糯米</dc:creator>
  <cp:lastModifiedBy>jxssl</cp:lastModifiedBy>
  <cp:lastPrinted>2024-06-04T18:55:00Z</cp:lastPrinted>
  <dcterms:modified xsi:type="dcterms:W3CDTF">2024-06-04T11:19:19Z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D5CB358618F14378A7BB00719D63B0BC_13</vt:lpwstr>
  </property>
</Properties>
</file>